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F4" w:rsidRPr="00611033" w:rsidRDefault="00611033" w:rsidP="00611033">
      <w:pPr>
        <w:jc w:val="right"/>
        <w:rPr>
          <w:b/>
          <w:sz w:val="44"/>
          <w:szCs w:val="44"/>
        </w:rPr>
      </w:pPr>
      <w:r w:rsidRPr="00611033">
        <w:rPr>
          <w:b/>
          <w:sz w:val="44"/>
          <w:szCs w:val="44"/>
        </w:rPr>
        <w:t>Item 6</w:t>
      </w:r>
    </w:p>
    <w:p w:rsidR="00A44B80" w:rsidRDefault="00A44B80">
      <w:pPr>
        <w:rPr>
          <w:b/>
        </w:rPr>
      </w:pPr>
      <w:r>
        <w:rPr>
          <w:b/>
        </w:rPr>
        <w:t xml:space="preserve">Audit </w:t>
      </w:r>
      <w:r w:rsidR="00EF009E">
        <w:rPr>
          <w:b/>
        </w:rPr>
        <w:t xml:space="preserve">and Governance </w:t>
      </w:r>
      <w:r>
        <w:rPr>
          <w:b/>
        </w:rPr>
        <w:t>Committee</w:t>
      </w:r>
    </w:p>
    <w:p w:rsidR="00A44B80" w:rsidRDefault="00A44B80">
      <w:r>
        <w:t xml:space="preserve">Meeting to be held on </w:t>
      </w:r>
      <w:r w:rsidR="002B7B29">
        <w:t>26 January 2015</w:t>
      </w:r>
      <w:bookmarkStart w:id="0" w:name="_GoBack"/>
      <w:bookmarkEnd w:id="0"/>
    </w:p>
    <w:p w:rsidR="00A44B80" w:rsidRDefault="00A44B8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44B80">
        <w:tc>
          <w:tcPr>
            <w:tcW w:w="3260" w:type="dxa"/>
          </w:tcPr>
          <w:p w:rsidR="00A44B80" w:rsidRDefault="00A44B80">
            <w:pPr>
              <w:pStyle w:val="BodyText"/>
            </w:pPr>
            <w:r>
              <w:t>Electoral Division affected:</w:t>
            </w:r>
          </w:p>
          <w:p w:rsidR="00A44B80" w:rsidRDefault="00A44B80">
            <w:pPr>
              <w:rPr>
                <w:u w:val="single"/>
              </w:rPr>
            </w:pPr>
            <w:r>
              <w:t>All</w:t>
            </w:r>
          </w:p>
        </w:tc>
      </w:tr>
    </w:tbl>
    <w:p w:rsidR="00A44B80" w:rsidRDefault="00A44B80">
      <w:pPr>
        <w:rPr>
          <w:u w:val="single"/>
        </w:rPr>
      </w:pPr>
    </w:p>
    <w:p w:rsidR="00A44B80" w:rsidRDefault="00A44B80">
      <w:pPr>
        <w:rPr>
          <w:b/>
        </w:rPr>
      </w:pPr>
      <w:r>
        <w:rPr>
          <w:b/>
        </w:rPr>
        <w:t xml:space="preserve">Internal Audit </w:t>
      </w:r>
      <w:r w:rsidR="00B777D7">
        <w:rPr>
          <w:b/>
        </w:rPr>
        <w:t xml:space="preserve">Service </w:t>
      </w:r>
      <w:r>
        <w:rPr>
          <w:b/>
        </w:rPr>
        <w:t>Progress Report</w:t>
      </w:r>
    </w:p>
    <w:p w:rsidR="00A44B80" w:rsidRPr="00387071" w:rsidRDefault="00A44B80">
      <w:pPr>
        <w:ind w:left="709" w:hanging="709"/>
      </w:pPr>
      <w:r w:rsidRPr="00387071">
        <w:t>(</w:t>
      </w:r>
      <w:r w:rsidRPr="00AB53F4">
        <w:t>Appendi</w:t>
      </w:r>
      <w:r w:rsidR="000B1BAE" w:rsidRPr="00AB53F4">
        <w:t>ces</w:t>
      </w:r>
      <w:r w:rsidR="00193C43" w:rsidRPr="00AB53F4">
        <w:t xml:space="preserve"> </w:t>
      </w:r>
      <w:r w:rsidR="00AB046B">
        <w:t>'</w:t>
      </w:r>
      <w:r w:rsidRPr="00AB53F4">
        <w:t>A</w:t>
      </w:r>
      <w:r w:rsidR="00AB046B">
        <w:t>'</w:t>
      </w:r>
      <w:r w:rsidR="000B1BAE" w:rsidRPr="00AB53F4">
        <w:t xml:space="preserve"> and </w:t>
      </w:r>
      <w:r w:rsidR="00AB046B">
        <w:t>'</w:t>
      </w:r>
      <w:r w:rsidR="000B1BAE" w:rsidRPr="00AB53F4">
        <w:t>B</w:t>
      </w:r>
      <w:r w:rsidR="00AB046B">
        <w:t>'</w:t>
      </w:r>
      <w:r w:rsidR="004D4B50" w:rsidRPr="00AB53F4">
        <w:t xml:space="preserve"> </w:t>
      </w:r>
      <w:r w:rsidRPr="00AB53F4">
        <w:t>refer</w:t>
      </w:r>
      <w:r w:rsidRPr="00387071">
        <w:t>)</w:t>
      </w:r>
    </w:p>
    <w:p w:rsidR="00A44B80" w:rsidRDefault="00A44B80">
      <w:pPr>
        <w:ind w:left="709" w:hanging="709"/>
        <w:rPr>
          <w:b/>
        </w:rPr>
      </w:pPr>
    </w:p>
    <w:p w:rsidR="00A44B80" w:rsidRDefault="00A44B80">
      <w:r>
        <w:t>Contact for further information</w:t>
      </w:r>
    </w:p>
    <w:p w:rsidR="00A44B80" w:rsidRDefault="00EF477D">
      <w:r>
        <w:t>Ruth Lowry, (01772) 534898</w:t>
      </w:r>
      <w:r w:rsidR="00AB046B">
        <w:t xml:space="preserve">, </w:t>
      </w:r>
      <w:hyperlink r:id="rId8" w:history="1">
        <w:r w:rsidR="00AB046B" w:rsidRPr="00047143">
          <w:rPr>
            <w:rStyle w:val="Hyperlink"/>
          </w:rPr>
          <w:t>ruth.lowry@lancashire.gov.uk</w:t>
        </w:r>
      </w:hyperlink>
    </w:p>
    <w:p w:rsidR="00A44B80" w:rsidRDefault="00A44B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44B80">
        <w:tc>
          <w:tcPr>
            <w:tcW w:w="9180" w:type="dxa"/>
          </w:tcPr>
          <w:p w:rsidR="00A44B80" w:rsidRDefault="00A44B80">
            <w:pPr>
              <w:pStyle w:val="Heading6"/>
              <w:keepNext w:val="0"/>
              <w:spacing w:before="120" w:after="60"/>
              <w:rPr>
                <w:rFonts w:ascii="Arial" w:hAnsi="Arial"/>
              </w:rPr>
            </w:pPr>
            <w:r>
              <w:rPr>
                <w:rFonts w:ascii="Arial" w:hAnsi="Arial"/>
              </w:rPr>
              <w:t>Executive Summary</w:t>
            </w:r>
          </w:p>
          <w:p w:rsidR="00A66782" w:rsidRDefault="00A44B80">
            <w:pPr>
              <w:spacing w:before="120" w:after="120"/>
            </w:pPr>
            <w:r>
              <w:t xml:space="preserve">In the context of fulfilling its responsibility to </w:t>
            </w:r>
            <w:r w:rsidR="00EF477D">
              <w:rPr>
                <w:rFonts w:ascii="TT6E85o00" w:hAnsi="TT6E85o00" w:cs="TT6E85o00"/>
                <w:szCs w:val="24"/>
              </w:rPr>
              <w:t>consider periodic reports of internal audit activity and outcomes</w:t>
            </w:r>
            <w:r>
              <w:t xml:space="preserve">, the </w:t>
            </w:r>
            <w:r w:rsidR="00A66782">
              <w:t>c</w:t>
            </w:r>
            <w:r>
              <w:t xml:space="preserve">ommittee is asked to consider the </w:t>
            </w:r>
            <w:r w:rsidR="004748E5">
              <w:t>progress report</w:t>
            </w:r>
            <w:r w:rsidR="006D3E3D">
              <w:t xml:space="preserve"> </w:t>
            </w:r>
            <w:r w:rsidR="009220A0">
              <w:t xml:space="preserve">and outcomes of the Internal Audit Service's work </w:t>
            </w:r>
            <w:r w:rsidR="006D3E3D">
              <w:t xml:space="preserve">for the </w:t>
            </w:r>
            <w:r w:rsidR="002B7B29">
              <w:t>nine</w:t>
            </w:r>
            <w:r w:rsidR="007F345B">
              <w:t xml:space="preserve"> </w:t>
            </w:r>
            <w:r w:rsidR="00EF477D">
              <w:t>months</w:t>
            </w:r>
            <w:r w:rsidR="006D3E3D">
              <w:t xml:space="preserve"> to </w:t>
            </w:r>
            <w:r w:rsidR="002B7B29">
              <w:t>31 December</w:t>
            </w:r>
            <w:r w:rsidR="00193C43">
              <w:t xml:space="preserve"> </w:t>
            </w:r>
            <w:r w:rsidR="00EF477D">
              <w:t>201</w:t>
            </w:r>
            <w:r w:rsidR="00193C43">
              <w:t>4</w:t>
            </w:r>
            <w:r w:rsidR="007859C4" w:rsidRPr="00387071">
              <w:t xml:space="preserve"> </w:t>
            </w:r>
            <w:r w:rsidRPr="00387071">
              <w:t>(</w:t>
            </w:r>
            <w:r w:rsidR="006D3E3D" w:rsidRPr="00387071">
              <w:t>Appendi</w:t>
            </w:r>
            <w:r w:rsidR="004748E5">
              <w:t>x A</w:t>
            </w:r>
            <w:r w:rsidR="007152E3">
              <w:t>)</w:t>
            </w:r>
            <w:r w:rsidR="006F4F53">
              <w:t>.</w:t>
            </w:r>
            <w:r w:rsidR="00966F16">
              <w:t xml:space="preserve"> </w:t>
            </w:r>
            <w:r w:rsidR="00777239">
              <w:t xml:space="preserve">It should also consider the development of the audit plan for 2014/15 </w:t>
            </w:r>
            <w:r w:rsidR="00DF6DC9">
              <w:t>as this has been amended following discussions with the Management Team</w:t>
            </w:r>
            <w:r w:rsidR="008445ED">
              <w:t xml:space="preserve"> (Appendix B)</w:t>
            </w:r>
            <w:r w:rsidR="00777239">
              <w:t>.</w:t>
            </w:r>
          </w:p>
          <w:p w:rsidR="00A44B80" w:rsidRDefault="00A44B80">
            <w:pPr>
              <w:pStyle w:val="Heading5"/>
              <w:keepNext w:val="0"/>
              <w:spacing w:before="120" w:after="60"/>
              <w:rPr>
                <w:rFonts w:ascii="Arial" w:hAnsi="Arial"/>
                <w:u w:val="none"/>
              </w:rPr>
            </w:pPr>
            <w:r>
              <w:rPr>
                <w:rFonts w:ascii="Arial" w:hAnsi="Arial"/>
                <w:u w:val="none"/>
              </w:rPr>
              <w:t>Recommendation</w:t>
            </w:r>
          </w:p>
          <w:p w:rsidR="00A44B80" w:rsidRDefault="00A44B80" w:rsidP="002B7B29">
            <w:pPr>
              <w:spacing w:before="120" w:after="120"/>
            </w:pPr>
            <w:r>
              <w:t xml:space="preserve">The </w:t>
            </w:r>
            <w:r w:rsidR="00387071">
              <w:t xml:space="preserve">Audit </w:t>
            </w:r>
            <w:r w:rsidR="00EF009E">
              <w:t xml:space="preserve">and Governance </w:t>
            </w:r>
            <w:r>
              <w:t xml:space="preserve">Committee is asked to consider the </w:t>
            </w:r>
            <w:r w:rsidR="00B777D7">
              <w:t>I</w:t>
            </w:r>
            <w:r>
              <w:t xml:space="preserve">nternal </w:t>
            </w:r>
            <w:r w:rsidR="00B777D7">
              <w:t>A</w:t>
            </w:r>
            <w:r>
              <w:t xml:space="preserve">udit </w:t>
            </w:r>
            <w:r w:rsidR="00B777D7">
              <w:t xml:space="preserve">Service </w:t>
            </w:r>
            <w:r>
              <w:t xml:space="preserve">progress report for the </w:t>
            </w:r>
            <w:r w:rsidR="002B7B29">
              <w:t>nine</w:t>
            </w:r>
            <w:r w:rsidR="00193C43">
              <w:t xml:space="preserve"> months to </w:t>
            </w:r>
            <w:r w:rsidR="002B7B29">
              <w:t xml:space="preserve">31 December </w:t>
            </w:r>
            <w:r w:rsidR="00193C43">
              <w:t>2014</w:t>
            </w:r>
            <w:r w:rsidR="008817D2">
              <w:t>.</w:t>
            </w:r>
          </w:p>
        </w:tc>
      </w:tr>
    </w:tbl>
    <w:p w:rsidR="00A44B80" w:rsidRDefault="00A44B80">
      <w:pPr>
        <w:rPr>
          <w:b/>
        </w:rPr>
      </w:pPr>
    </w:p>
    <w:p w:rsidR="00A44B80" w:rsidRDefault="00A44B80">
      <w:pPr>
        <w:rPr>
          <w:b/>
        </w:rPr>
      </w:pPr>
      <w:r>
        <w:rPr>
          <w:b/>
        </w:rPr>
        <w:t>Background</w:t>
      </w:r>
      <w:r w:rsidR="00445043">
        <w:rPr>
          <w:b/>
        </w:rPr>
        <w:t xml:space="preserve"> and advice</w:t>
      </w:r>
    </w:p>
    <w:p w:rsidR="00A44B80" w:rsidRDefault="00A44B80"/>
    <w:p w:rsidR="00EF477D" w:rsidRDefault="00A44B80">
      <w:r>
        <w:t xml:space="preserve">The </w:t>
      </w:r>
      <w:r w:rsidR="00EF009E">
        <w:t>c</w:t>
      </w:r>
      <w:r>
        <w:t>ommittee</w:t>
      </w:r>
      <w:r w:rsidR="00EF477D">
        <w:t xml:space="preserve"> may be interested to understand the internal audit work performed, the key issues emerging from it and management's responses to it. </w:t>
      </w:r>
      <w:r w:rsidR="002B7B29">
        <w:t>It should also understand the responses of the council's senior management teams and the Internal Audit Service to the annual report relating to the previous year and the corresponding changes to the audit plan for 2014/15.</w:t>
      </w:r>
    </w:p>
    <w:p w:rsidR="00EF477D" w:rsidRDefault="00EF477D"/>
    <w:p w:rsidR="002B7B29" w:rsidRPr="002B7B29" w:rsidRDefault="002B7B29">
      <w:pPr>
        <w:rPr>
          <w:b/>
        </w:rPr>
      </w:pPr>
      <w:r w:rsidRPr="002B7B29">
        <w:rPr>
          <w:b/>
        </w:rPr>
        <w:t>Audit plan 2014/15</w:t>
      </w:r>
    </w:p>
    <w:p w:rsidR="002B7B29" w:rsidRDefault="002B7B29"/>
    <w:p w:rsidR="00332B59" w:rsidRDefault="002B7B29">
      <w:r>
        <w:t>The provisional audit plan was presented to the Audit and Governance Committee in June 2014</w:t>
      </w:r>
      <w:r w:rsidR="008A27C5">
        <w:t xml:space="preserve"> and form</w:t>
      </w:r>
      <w:r w:rsidR="001D44A1">
        <w:t>ed</w:t>
      </w:r>
      <w:r w:rsidR="008A27C5">
        <w:t xml:space="preserve"> th</w:t>
      </w:r>
      <w:r w:rsidR="000B1BAE">
        <w:t>e</w:t>
      </w:r>
      <w:r w:rsidR="008A27C5">
        <w:t xml:space="preserve"> basis of audit work for the </w:t>
      </w:r>
      <w:r w:rsidR="001D44A1">
        <w:t xml:space="preserve">first half of the </w:t>
      </w:r>
      <w:r w:rsidR="008A27C5">
        <w:t>year</w:t>
      </w:r>
      <w:r>
        <w:t xml:space="preserve">. </w:t>
      </w:r>
      <w:r w:rsidR="008A27C5">
        <w:t xml:space="preserve">However the Management Team </w:t>
      </w:r>
      <w:r w:rsidR="00332B59">
        <w:t xml:space="preserve">is keen to rectify the control weaknesses reported in 2013/14, and to ensure that controls over areas of high and moderate risk </w:t>
      </w:r>
      <w:r w:rsidR="001D44A1">
        <w:t xml:space="preserve">in particular </w:t>
      </w:r>
      <w:r w:rsidR="00332B59">
        <w:t>are adequately designed and effective in operation.</w:t>
      </w:r>
      <w:r w:rsidR="000B1BAE">
        <w:t xml:space="preserve"> </w:t>
      </w:r>
      <w:r w:rsidR="00332B59">
        <w:t xml:space="preserve">One of the Audit Managers has therefore been seconded out of the team to support management in implementing improved controls, and internal audit work </w:t>
      </w:r>
      <w:r w:rsidR="00DF6DC9">
        <w:t xml:space="preserve">for the year is now </w:t>
      </w:r>
      <w:r w:rsidR="00332B59">
        <w:t>strongly focussed on following up agreed remedial action and on re-auditing areas of known control weaknesses as these are addressed.</w:t>
      </w:r>
    </w:p>
    <w:p w:rsidR="002B7B29" w:rsidRDefault="002B7B29"/>
    <w:p w:rsidR="00194A0A" w:rsidRDefault="00194A0A" w:rsidP="00194A0A">
      <w:pPr>
        <w:jc w:val="right"/>
      </w:pPr>
      <w:r>
        <w:rPr>
          <w:noProof/>
        </w:rPr>
        <w:drawing>
          <wp:inline distT="0" distB="0" distL="0" distR="0" wp14:anchorId="007572B4" wp14:editId="34BE112C">
            <wp:extent cx="1257300" cy="628650"/>
            <wp:effectExtent l="1905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9"/>
                    <a:srcRect/>
                    <a:stretch>
                      <a:fillRect/>
                    </a:stretch>
                  </pic:blipFill>
                  <pic:spPr bwMode="auto">
                    <a:xfrm>
                      <a:off x="0" y="0"/>
                      <a:ext cx="1257300" cy="628650"/>
                    </a:xfrm>
                    <a:prstGeom prst="rect">
                      <a:avLst/>
                    </a:prstGeom>
                    <a:noFill/>
                    <a:ln w="9525">
                      <a:noFill/>
                      <a:miter lim="800000"/>
                      <a:headEnd/>
                      <a:tailEnd/>
                    </a:ln>
                  </pic:spPr>
                </pic:pic>
              </a:graphicData>
            </a:graphic>
          </wp:inline>
        </w:drawing>
      </w:r>
    </w:p>
    <w:p w:rsidR="00194A0A" w:rsidRDefault="00194A0A"/>
    <w:p w:rsidR="00194A0A" w:rsidRDefault="00194A0A"/>
    <w:p w:rsidR="00EF477D" w:rsidRDefault="00EF477D">
      <w:r>
        <w:t xml:space="preserve">Appendix A to this report </w:t>
      </w:r>
      <w:r w:rsidR="00EF009E">
        <w:t>summarises</w:t>
      </w:r>
      <w:r>
        <w:t xml:space="preserve"> the issues emerging from the internal audit work </w:t>
      </w:r>
      <w:r w:rsidR="00EF009E">
        <w:t xml:space="preserve">completed </w:t>
      </w:r>
      <w:r w:rsidR="002B7B29">
        <w:t>during the year to date</w:t>
      </w:r>
      <w:r w:rsidR="00EF009E">
        <w:t xml:space="preserve">. </w:t>
      </w:r>
    </w:p>
    <w:p w:rsidR="00A44B80" w:rsidRDefault="00A44B80"/>
    <w:p w:rsidR="00577437" w:rsidRPr="00577437" w:rsidRDefault="00577437" w:rsidP="00577437">
      <w:pPr>
        <w:rPr>
          <w:b/>
          <w:i/>
        </w:rPr>
      </w:pPr>
      <w:r w:rsidRPr="00577437">
        <w:rPr>
          <w:b/>
          <w:i/>
        </w:rPr>
        <w:t xml:space="preserve">Internal audit assurance </w:t>
      </w:r>
    </w:p>
    <w:p w:rsidR="00577437" w:rsidRPr="006B4561" w:rsidRDefault="00577437" w:rsidP="00577437">
      <w:pPr>
        <w:tabs>
          <w:tab w:val="num" w:pos="720"/>
        </w:tabs>
        <w:spacing w:before="120" w:after="120"/>
        <w:rPr>
          <w:rFonts w:cs="Arial"/>
          <w:szCs w:val="24"/>
        </w:rPr>
      </w:pPr>
      <w:r>
        <w:rPr>
          <w:rFonts w:cs="Arial"/>
          <w:szCs w:val="24"/>
        </w:rPr>
        <w:t>Internal a</w:t>
      </w:r>
      <w:r w:rsidRPr="006B4561">
        <w:rPr>
          <w:rFonts w:cs="Arial"/>
          <w:szCs w:val="24"/>
        </w:rPr>
        <w:t>udit assurance i</w:t>
      </w:r>
      <w:r>
        <w:rPr>
          <w:rFonts w:cs="Arial"/>
          <w:szCs w:val="24"/>
        </w:rPr>
        <w:t>s stated in the following terms</w:t>
      </w:r>
      <w:r w:rsidRPr="006B4561">
        <w:rPr>
          <w:rFonts w:cs="Arial"/>
          <w:szCs w:val="24"/>
        </w:rPr>
        <w:t>:</w:t>
      </w:r>
    </w:p>
    <w:p w:rsidR="00577437" w:rsidRPr="00BC7F48" w:rsidRDefault="00577437" w:rsidP="00577437">
      <w:pPr>
        <w:spacing w:before="120" w:after="120"/>
        <w:ind w:left="567"/>
        <w:rPr>
          <w:rFonts w:cs="Arial"/>
          <w:szCs w:val="24"/>
        </w:rPr>
      </w:pPr>
      <w:r w:rsidRPr="00610296">
        <w:rPr>
          <w:rFonts w:cs="Arial"/>
          <w:b/>
          <w:i/>
          <w:szCs w:val="24"/>
        </w:rPr>
        <w:t>Full assurance</w:t>
      </w:r>
      <w:r w:rsidRPr="00BC7F48">
        <w:rPr>
          <w:rFonts w:cs="Arial"/>
          <w:szCs w:val="24"/>
        </w:rPr>
        <w:t xml:space="preserve">: there is a sound system of internal control which is designed to meet the </w:t>
      </w:r>
      <w:r>
        <w:rPr>
          <w:rFonts w:cs="Arial"/>
          <w:szCs w:val="24"/>
        </w:rPr>
        <w:t>service</w:t>
      </w:r>
      <w:r w:rsidRPr="00BC7F48">
        <w:rPr>
          <w:rFonts w:cs="Arial"/>
          <w:szCs w:val="24"/>
        </w:rPr>
        <w:t xml:space="preserve"> objectives and controls are being consistently applied.</w:t>
      </w:r>
    </w:p>
    <w:p w:rsidR="00577437" w:rsidRPr="00BC7F48" w:rsidRDefault="00577437" w:rsidP="00577437">
      <w:pPr>
        <w:spacing w:before="120" w:after="120"/>
        <w:ind w:left="567"/>
        <w:rPr>
          <w:rFonts w:cs="Arial"/>
          <w:szCs w:val="24"/>
        </w:rPr>
      </w:pPr>
      <w:r w:rsidRPr="00610296">
        <w:rPr>
          <w:rFonts w:cs="Arial"/>
          <w:b/>
          <w:i/>
          <w:szCs w:val="24"/>
        </w:rPr>
        <w:t>Substantial assurance</w:t>
      </w:r>
      <w:r w:rsidRPr="00BC7F48">
        <w:rPr>
          <w:rFonts w:cs="Arial"/>
          <w:szCs w:val="24"/>
        </w:rPr>
        <w:t xml:space="preserve">: there is a generally sound system of internal control, designed to meet the </w:t>
      </w:r>
      <w:r>
        <w:rPr>
          <w:rFonts w:cs="Arial"/>
          <w:szCs w:val="24"/>
        </w:rPr>
        <w:t>service</w:t>
      </w:r>
      <w:r w:rsidRPr="00BC7F48" w:rsidDel="00522EFC">
        <w:rPr>
          <w:rFonts w:cs="Arial"/>
          <w:szCs w:val="24"/>
        </w:rPr>
        <w:t xml:space="preserve"> </w:t>
      </w:r>
      <w:r w:rsidRPr="00BC7F48">
        <w:rPr>
          <w:rFonts w:cs="Arial"/>
          <w:szCs w:val="24"/>
        </w:rPr>
        <w:t xml:space="preserve">objectives, and controls are generally being applied consistently. However some weakness in the design and/ or inconsistent application of controls put the achievement of particular objectives at risk. </w:t>
      </w:r>
    </w:p>
    <w:p w:rsidR="00577437" w:rsidRDefault="00577437" w:rsidP="00577437">
      <w:pPr>
        <w:spacing w:before="120" w:after="120"/>
        <w:ind w:left="567"/>
        <w:rPr>
          <w:rFonts w:cs="Arial"/>
          <w:szCs w:val="24"/>
        </w:rPr>
      </w:pPr>
      <w:r w:rsidRPr="00610296">
        <w:rPr>
          <w:rFonts w:cs="Arial"/>
          <w:b/>
          <w:i/>
          <w:szCs w:val="24"/>
        </w:rPr>
        <w:t>Limited assurance</w:t>
      </w:r>
      <w:r w:rsidRPr="00BC7F48">
        <w:rPr>
          <w:rFonts w:cs="Arial"/>
          <w:szCs w:val="24"/>
        </w:rPr>
        <w:t xml:space="preserve">: weaknesses in the design and/ or inconsistent application of controls put the achievement of the </w:t>
      </w:r>
      <w:r>
        <w:rPr>
          <w:rFonts w:cs="Arial"/>
          <w:szCs w:val="24"/>
        </w:rPr>
        <w:t>service</w:t>
      </w:r>
      <w:r w:rsidRPr="00BC7F48" w:rsidDel="00522EFC">
        <w:rPr>
          <w:rFonts w:cs="Arial"/>
          <w:szCs w:val="24"/>
        </w:rPr>
        <w:t xml:space="preserve"> </w:t>
      </w:r>
      <w:r w:rsidRPr="00BC7F48">
        <w:rPr>
          <w:rFonts w:cs="Arial"/>
          <w:szCs w:val="24"/>
        </w:rPr>
        <w:t>objectives at risk.</w:t>
      </w:r>
    </w:p>
    <w:p w:rsidR="00577437" w:rsidRDefault="00577437" w:rsidP="00881F93">
      <w:pPr>
        <w:ind w:left="567"/>
        <w:rPr>
          <w:rFonts w:cs="Arial"/>
          <w:szCs w:val="24"/>
        </w:rPr>
      </w:pPr>
      <w:r w:rsidRPr="00610296">
        <w:rPr>
          <w:rFonts w:cs="Arial"/>
          <w:b/>
          <w:i/>
          <w:szCs w:val="24"/>
        </w:rPr>
        <w:t>No assurance</w:t>
      </w:r>
      <w:r w:rsidRPr="00BC7F48">
        <w:rPr>
          <w:rFonts w:cs="Arial"/>
          <w:szCs w:val="24"/>
        </w:rPr>
        <w:t>: weaknesses in control and/ or consistent non-compliance with controls could result/ ha</w:t>
      </w:r>
      <w:r>
        <w:rPr>
          <w:rFonts w:cs="Arial"/>
          <w:szCs w:val="24"/>
        </w:rPr>
        <w:t>ve</w:t>
      </w:r>
      <w:r w:rsidRPr="00BC7F48">
        <w:rPr>
          <w:rFonts w:cs="Arial"/>
          <w:szCs w:val="24"/>
        </w:rPr>
        <w:t xml:space="preserve"> resulted in failure to achieve the </w:t>
      </w:r>
      <w:r>
        <w:rPr>
          <w:rFonts w:cs="Arial"/>
          <w:szCs w:val="24"/>
        </w:rPr>
        <w:t>service</w:t>
      </w:r>
      <w:r w:rsidRPr="00BC7F48" w:rsidDel="00522EFC">
        <w:rPr>
          <w:rFonts w:cs="Arial"/>
          <w:szCs w:val="24"/>
        </w:rPr>
        <w:t xml:space="preserve"> </w:t>
      </w:r>
      <w:r w:rsidRPr="00BC7F48">
        <w:rPr>
          <w:rFonts w:cs="Arial"/>
          <w:szCs w:val="24"/>
        </w:rPr>
        <w:t>objectives.</w:t>
      </w:r>
    </w:p>
    <w:p w:rsidR="00881F93" w:rsidRPr="00881F93" w:rsidRDefault="00881F93" w:rsidP="00881F93">
      <w:pPr>
        <w:ind w:left="567"/>
        <w:rPr>
          <w:rFonts w:cs="Arial"/>
          <w:szCs w:val="24"/>
        </w:rPr>
      </w:pPr>
    </w:p>
    <w:p w:rsidR="00A44B80" w:rsidRDefault="00A44B80" w:rsidP="00881F93">
      <w:pPr>
        <w:pStyle w:val="Heading1"/>
      </w:pPr>
      <w:r>
        <w:t>Consultations</w:t>
      </w:r>
    </w:p>
    <w:p w:rsidR="00881F93" w:rsidRPr="00881F93" w:rsidRDefault="00881F93" w:rsidP="00881F93"/>
    <w:p w:rsidR="00A44B80" w:rsidRDefault="00A44B80" w:rsidP="00881F93">
      <w:r>
        <w:t>Not applicable.</w:t>
      </w:r>
    </w:p>
    <w:p w:rsidR="00881F93" w:rsidRDefault="00881F93" w:rsidP="00881F93"/>
    <w:p w:rsidR="00A44B80" w:rsidRDefault="00445043" w:rsidP="00881F93">
      <w:pPr>
        <w:rPr>
          <w:b/>
        </w:rPr>
      </w:pPr>
      <w:r>
        <w:rPr>
          <w:b/>
        </w:rPr>
        <w:t>Implications</w:t>
      </w:r>
    </w:p>
    <w:p w:rsidR="00881F93" w:rsidRDefault="00881F93" w:rsidP="00881F93">
      <w:pPr>
        <w:rPr>
          <w:b/>
        </w:rPr>
      </w:pPr>
    </w:p>
    <w:p w:rsidR="00A44B80" w:rsidRDefault="00A44B80" w:rsidP="00881F93">
      <w:r>
        <w:t>Not applicable.</w:t>
      </w:r>
    </w:p>
    <w:p w:rsidR="00881F93" w:rsidRDefault="00881F93" w:rsidP="00881F93"/>
    <w:p w:rsidR="00347DC7" w:rsidRDefault="00347DC7" w:rsidP="00881F93">
      <w:pPr>
        <w:pStyle w:val="Heading5"/>
        <w:rPr>
          <w:rFonts w:ascii="Arial" w:hAnsi="Arial"/>
          <w:u w:val="none"/>
        </w:rPr>
      </w:pPr>
      <w:r>
        <w:rPr>
          <w:rFonts w:ascii="Arial" w:hAnsi="Arial"/>
          <w:u w:val="none"/>
        </w:rPr>
        <w:t>Risk management</w:t>
      </w:r>
    </w:p>
    <w:p w:rsidR="00881F93" w:rsidRPr="00881F93" w:rsidRDefault="00881F93" w:rsidP="00881F93"/>
    <w:p w:rsidR="00347DC7" w:rsidRDefault="00EF009E" w:rsidP="00881F93">
      <w:pPr>
        <w:autoSpaceDE w:val="0"/>
        <w:autoSpaceDN w:val="0"/>
        <w:adjustRightInd w:val="0"/>
      </w:pPr>
      <w:r w:rsidRPr="00347DC7">
        <w:t xml:space="preserve">This report supports the </w:t>
      </w:r>
      <w:r>
        <w:rPr>
          <w:rFonts w:ascii="TT6E85o00" w:hAnsi="TT6E85o00" w:cs="TT6E85o00"/>
          <w:szCs w:val="24"/>
        </w:rPr>
        <w:t xml:space="preserve">Audit and Governance Committee </w:t>
      </w:r>
      <w:r w:rsidRPr="00347DC7">
        <w:t xml:space="preserve">in undertaking its role, which includes </w:t>
      </w:r>
      <w:r>
        <w:rPr>
          <w:rFonts w:ascii="TT6E85o00" w:hAnsi="TT6E85o00" w:cs="TT6E85o00"/>
          <w:szCs w:val="24"/>
        </w:rPr>
        <w:t>providing independent oversight of the adequacy of the council's governance, risk management and internal control framework</w:t>
      </w:r>
      <w:r w:rsidR="00347DC7">
        <w:t>.</w:t>
      </w:r>
    </w:p>
    <w:p w:rsidR="00347DC7" w:rsidRPr="00347DC7" w:rsidRDefault="00347DC7" w:rsidP="00881F93"/>
    <w:p w:rsidR="00A44B80" w:rsidRDefault="00A44B80" w:rsidP="00881F93">
      <w:pPr>
        <w:pStyle w:val="Heading5"/>
        <w:rPr>
          <w:rFonts w:ascii="Arial" w:hAnsi="Arial"/>
          <w:u w:val="none"/>
        </w:rPr>
      </w:pPr>
      <w:r>
        <w:rPr>
          <w:rFonts w:ascii="Arial" w:hAnsi="Arial"/>
          <w:u w:val="none"/>
        </w:rPr>
        <w:t>Local Government (Access to Information) Act 1985</w:t>
      </w:r>
    </w:p>
    <w:p w:rsidR="00A44B80" w:rsidRDefault="00A44B80" w:rsidP="00881F93">
      <w:pPr>
        <w:pStyle w:val="Heading5"/>
        <w:rPr>
          <w:rFonts w:ascii="Arial" w:hAnsi="Arial"/>
          <w:u w:val="none"/>
        </w:rPr>
      </w:pPr>
      <w:r>
        <w:rPr>
          <w:rFonts w:ascii="Arial" w:hAnsi="Arial"/>
          <w:u w:val="none"/>
        </w:rPr>
        <w:t>List of Background Papers</w:t>
      </w:r>
    </w:p>
    <w:tbl>
      <w:tblPr>
        <w:tblW w:w="0" w:type="auto"/>
        <w:tblLayout w:type="fixed"/>
        <w:tblLook w:val="0000" w:firstRow="0" w:lastRow="0" w:firstColumn="0" w:lastColumn="0" w:noHBand="0" w:noVBand="0"/>
      </w:tblPr>
      <w:tblGrid>
        <w:gridCol w:w="5211"/>
        <w:gridCol w:w="1276"/>
        <w:gridCol w:w="2693"/>
      </w:tblGrid>
      <w:tr w:rsidR="00A44B80">
        <w:tc>
          <w:tcPr>
            <w:tcW w:w="5211" w:type="dxa"/>
          </w:tcPr>
          <w:p w:rsidR="00881F93" w:rsidRDefault="00881F93">
            <w:pPr>
              <w:pStyle w:val="Heading7"/>
              <w:rPr>
                <w:u w:val="none"/>
              </w:rPr>
            </w:pPr>
          </w:p>
          <w:p w:rsidR="00A44B80" w:rsidRDefault="00A44B80">
            <w:pPr>
              <w:pStyle w:val="Heading7"/>
              <w:rPr>
                <w:rFonts w:ascii="Arial" w:hAnsi="Arial"/>
                <w:u w:val="none"/>
              </w:rPr>
            </w:pPr>
            <w:r>
              <w:rPr>
                <w:u w:val="none"/>
              </w:rPr>
              <w:t>Paper</w:t>
            </w:r>
          </w:p>
        </w:tc>
        <w:tc>
          <w:tcPr>
            <w:tcW w:w="1276" w:type="dxa"/>
          </w:tcPr>
          <w:p w:rsidR="00A44B80" w:rsidRDefault="00A44B80">
            <w:pPr>
              <w:pStyle w:val="Heading7"/>
              <w:rPr>
                <w:rFonts w:ascii="Arial" w:hAnsi="Arial"/>
                <w:u w:val="none"/>
              </w:rPr>
            </w:pPr>
            <w:r>
              <w:rPr>
                <w:rFonts w:ascii="Arial" w:hAnsi="Arial"/>
                <w:u w:val="none"/>
              </w:rPr>
              <w:t>Date</w:t>
            </w:r>
          </w:p>
        </w:tc>
        <w:tc>
          <w:tcPr>
            <w:tcW w:w="2693" w:type="dxa"/>
          </w:tcPr>
          <w:p w:rsidR="00A44B80" w:rsidRDefault="00A44B80">
            <w:pPr>
              <w:pStyle w:val="Heading7"/>
              <w:rPr>
                <w:rFonts w:ascii="Arial" w:hAnsi="Arial"/>
                <w:u w:val="none"/>
              </w:rPr>
            </w:pPr>
            <w:r>
              <w:rPr>
                <w:rFonts w:ascii="Arial" w:hAnsi="Arial"/>
                <w:u w:val="none"/>
              </w:rPr>
              <w:t>Contact</w:t>
            </w:r>
          </w:p>
        </w:tc>
      </w:tr>
      <w:tr w:rsidR="00A44B80">
        <w:tc>
          <w:tcPr>
            <w:tcW w:w="5211" w:type="dxa"/>
          </w:tcPr>
          <w:p w:rsidR="00A44B80" w:rsidRPr="007C36CF" w:rsidRDefault="00A44B80">
            <w:r>
              <w:t>Not applicable</w:t>
            </w:r>
            <w:r w:rsidR="00A66782">
              <w:t>.</w:t>
            </w:r>
          </w:p>
        </w:tc>
        <w:tc>
          <w:tcPr>
            <w:tcW w:w="1276" w:type="dxa"/>
          </w:tcPr>
          <w:p w:rsidR="00A44B80" w:rsidRDefault="00A44B80"/>
        </w:tc>
        <w:tc>
          <w:tcPr>
            <w:tcW w:w="2693" w:type="dxa"/>
            <w:shd w:val="clear" w:color="auto" w:fill="auto"/>
          </w:tcPr>
          <w:p w:rsidR="00A44B80" w:rsidRDefault="00A44B80"/>
        </w:tc>
      </w:tr>
    </w:tbl>
    <w:p w:rsidR="00A44B80" w:rsidRDefault="00A44B80">
      <w:pPr>
        <w:spacing w:before="240" w:after="120"/>
      </w:pPr>
      <w:r>
        <w:rPr>
          <w:b/>
        </w:rPr>
        <w:t xml:space="preserve">Reason for inclusion in Part II, if appropriate:  </w:t>
      </w:r>
      <w:r>
        <w:t>Not applicable.</w:t>
      </w:r>
    </w:p>
    <w:sectPr w:rsidR="00A44B80" w:rsidSect="001F616A">
      <w:footerReference w:type="even" r:id="rId10"/>
      <w:footerReference w:type="default" r:id="rId11"/>
      <w:footerReference w:type="first" r:id="rId12"/>
      <w:pgSz w:w="11907" w:h="16840" w:code="9"/>
      <w:pgMar w:top="1440" w:right="1440" w:bottom="426" w:left="1134" w:header="720" w:footer="69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A0" w:rsidRDefault="009220A0">
      <w:r>
        <w:separator/>
      </w:r>
    </w:p>
  </w:endnote>
  <w:endnote w:type="continuationSeparator" w:id="0">
    <w:p w:rsidR="009220A0" w:rsidRDefault="0092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6E85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A0" w:rsidRDefault="005E087A">
    <w:pPr>
      <w:pStyle w:val="Footer"/>
      <w:framePr w:wrap="around" w:vAnchor="text" w:hAnchor="margin" w:xAlign="center" w:y="1"/>
      <w:rPr>
        <w:rStyle w:val="PageNumber"/>
      </w:rPr>
    </w:pPr>
    <w:r>
      <w:rPr>
        <w:rStyle w:val="PageNumber"/>
      </w:rPr>
      <w:fldChar w:fldCharType="begin"/>
    </w:r>
    <w:r w:rsidR="009220A0">
      <w:rPr>
        <w:rStyle w:val="PageNumber"/>
      </w:rPr>
      <w:instrText xml:space="preserve">PAGE  </w:instrText>
    </w:r>
    <w:r>
      <w:rPr>
        <w:rStyle w:val="PageNumber"/>
      </w:rPr>
      <w:fldChar w:fldCharType="end"/>
    </w:r>
  </w:p>
  <w:p w:rsidR="009220A0" w:rsidRDefault="00922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94524"/>
      <w:docPartObj>
        <w:docPartGallery w:val="Page Numbers (Bottom of Page)"/>
        <w:docPartUnique/>
      </w:docPartObj>
    </w:sdtPr>
    <w:sdtEndPr>
      <w:rPr>
        <w:noProof/>
      </w:rPr>
    </w:sdtEndPr>
    <w:sdtContent>
      <w:p w:rsidR="00194A0A" w:rsidRDefault="00194A0A">
        <w:pPr>
          <w:pStyle w:val="Footer"/>
          <w:jc w:val="center"/>
        </w:pPr>
        <w:r>
          <w:fldChar w:fldCharType="begin"/>
        </w:r>
        <w:r>
          <w:instrText xml:space="preserve"> PAGE   \* MERGEFORMAT </w:instrText>
        </w:r>
        <w:r>
          <w:fldChar w:fldCharType="separate"/>
        </w:r>
        <w:r w:rsidR="00611033">
          <w:rPr>
            <w:noProof/>
          </w:rPr>
          <w:t>2</w:t>
        </w:r>
        <w:r>
          <w:rPr>
            <w:noProof/>
          </w:rPr>
          <w:fldChar w:fldCharType="end"/>
        </w:r>
      </w:p>
    </w:sdtContent>
  </w:sdt>
  <w:p w:rsidR="009220A0" w:rsidRDefault="009220A0">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99279"/>
      <w:docPartObj>
        <w:docPartGallery w:val="Page Numbers (Bottom of Page)"/>
        <w:docPartUnique/>
      </w:docPartObj>
    </w:sdtPr>
    <w:sdtEndPr>
      <w:rPr>
        <w:noProof/>
      </w:rPr>
    </w:sdtEndPr>
    <w:sdtContent>
      <w:p w:rsidR="00194A0A" w:rsidRDefault="00194A0A">
        <w:pPr>
          <w:pStyle w:val="Footer"/>
          <w:jc w:val="center"/>
        </w:pPr>
        <w:r>
          <w:fldChar w:fldCharType="begin"/>
        </w:r>
        <w:r>
          <w:instrText xml:space="preserve"> PAGE   \* MERGEFORMAT </w:instrText>
        </w:r>
        <w:r>
          <w:fldChar w:fldCharType="separate"/>
        </w:r>
        <w:r w:rsidR="00611033">
          <w:rPr>
            <w:noProof/>
          </w:rPr>
          <w:t>1</w:t>
        </w:r>
        <w:r>
          <w:rPr>
            <w:noProof/>
          </w:rPr>
          <w:fldChar w:fldCharType="end"/>
        </w:r>
      </w:p>
    </w:sdtContent>
  </w:sdt>
  <w:p w:rsidR="009220A0" w:rsidRDefault="009220A0">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A0" w:rsidRDefault="009220A0">
      <w:r>
        <w:separator/>
      </w:r>
    </w:p>
  </w:footnote>
  <w:footnote w:type="continuationSeparator" w:id="0">
    <w:p w:rsidR="009220A0" w:rsidRDefault="0092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85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CEF620E"/>
    <w:multiLevelType w:val="hybridMultilevel"/>
    <w:tmpl w:val="1824A616"/>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E840E6"/>
    <w:multiLevelType w:val="hybridMultilevel"/>
    <w:tmpl w:val="DC788026"/>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176D51"/>
    <w:multiLevelType w:val="hybridMultilevel"/>
    <w:tmpl w:val="0FFA6A72"/>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204DC0"/>
    <w:multiLevelType w:val="hybridMultilevel"/>
    <w:tmpl w:val="752472CA"/>
    <w:lvl w:ilvl="0" w:tplc="CF0E0A6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62A3554"/>
    <w:multiLevelType w:val="hybridMultilevel"/>
    <w:tmpl w:val="15BE9D26"/>
    <w:lvl w:ilvl="0" w:tplc="0D24673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752800"/>
    <w:multiLevelType w:val="hybridMultilevel"/>
    <w:tmpl w:val="622A7E20"/>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7BF00FA"/>
    <w:multiLevelType w:val="hybridMultilevel"/>
    <w:tmpl w:val="3F46CA4A"/>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540097"/>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9">
    <w:nsid w:val="75D52BD2"/>
    <w:multiLevelType w:val="hybridMultilevel"/>
    <w:tmpl w:val="B00E98FA"/>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AC498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0"/>
  </w:num>
  <w:num w:numId="3">
    <w:abstractNumId w:val="4"/>
  </w:num>
  <w:num w:numId="4">
    <w:abstractNumId w:val="6"/>
  </w:num>
  <w:num w:numId="5">
    <w:abstractNumId w:val="2"/>
  </w:num>
  <w:num w:numId="6">
    <w:abstractNumId w:val="7"/>
  </w:num>
  <w:num w:numId="7">
    <w:abstractNumId w:val="9"/>
  </w:num>
  <w:num w:numId="8">
    <w:abstractNumId w:val="1"/>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21120F"/>
    <w:rsid w:val="000439B3"/>
    <w:rsid w:val="0006173B"/>
    <w:rsid w:val="000A3654"/>
    <w:rsid w:val="000B1BAE"/>
    <w:rsid w:val="000F0414"/>
    <w:rsid w:val="00116D8C"/>
    <w:rsid w:val="001444B9"/>
    <w:rsid w:val="00156E4C"/>
    <w:rsid w:val="00193C43"/>
    <w:rsid w:val="00194A0A"/>
    <w:rsid w:val="001D44A1"/>
    <w:rsid w:val="001F527F"/>
    <w:rsid w:val="001F616A"/>
    <w:rsid w:val="0021120F"/>
    <w:rsid w:val="00263C23"/>
    <w:rsid w:val="00273C07"/>
    <w:rsid w:val="002B0996"/>
    <w:rsid w:val="002B3793"/>
    <w:rsid w:val="002B7B29"/>
    <w:rsid w:val="00332B59"/>
    <w:rsid w:val="00337BA7"/>
    <w:rsid w:val="00340815"/>
    <w:rsid w:val="00347DC7"/>
    <w:rsid w:val="003507E4"/>
    <w:rsid w:val="00357A93"/>
    <w:rsid w:val="00387071"/>
    <w:rsid w:val="003E7C2F"/>
    <w:rsid w:val="00401739"/>
    <w:rsid w:val="00445043"/>
    <w:rsid w:val="00455FAE"/>
    <w:rsid w:val="004748E5"/>
    <w:rsid w:val="004824B4"/>
    <w:rsid w:val="004A254B"/>
    <w:rsid w:val="004B4173"/>
    <w:rsid w:val="004D4B50"/>
    <w:rsid w:val="004E54F7"/>
    <w:rsid w:val="00515D28"/>
    <w:rsid w:val="00521E17"/>
    <w:rsid w:val="005612FE"/>
    <w:rsid w:val="00570EBE"/>
    <w:rsid w:val="00577437"/>
    <w:rsid w:val="005E087A"/>
    <w:rsid w:val="005F1F84"/>
    <w:rsid w:val="00601C5D"/>
    <w:rsid w:val="00611033"/>
    <w:rsid w:val="00682A64"/>
    <w:rsid w:val="006D3E3D"/>
    <w:rsid w:val="006F4F53"/>
    <w:rsid w:val="00700D55"/>
    <w:rsid w:val="007152E3"/>
    <w:rsid w:val="00777239"/>
    <w:rsid w:val="007859C4"/>
    <w:rsid w:val="00791139"/>
    <w:rsid w:val="007F345B"/>
    <w:rsid w:val="008445ED"/>
    <w:rsid w:val="00845F91"/>
    <w:rsid w:val="008817D2"/>
    <w:rsid w:val="00881F93"/>
    <w:rsid w:val="008A27C5"/>
    <w:rsid w:val="008F03D9"/>
    <w:rsid w:val="009220A0"/>
    <w:rsid w:val="00936BB4"/>
    <w:rsid w:val="00966F16"/>
    <w:rsid w:val="00986EDA"/>
    <w:rsid w:val="00992C8F"/>
    <w:rsid w:val="00994487"/>
    <w:rsid w:val="00995B51"/>
    <w:rsid w:val="009B15EB"/>
    <w:rsid w:val="00A06895"/>
    <w:rsid w:val="00A23FEC"/>
    <w:rsid w:val="00A26682"/>
    <w:rsid w:val="00A44B80"/>
    <w:rsid w:val="00A45BE7"/>
    <w:rsid w:val="00A6018C"/>
    <w:rsid w:val="00A66782"/>
    <w:rsid w:val="00AB046B"/>
    <w:rsid w:val="00AB4997"/>
    <w:rsid w:val="00AB53F4"/>
    <w:rsid w:val="00B26BE6"/>
    <w:rsid w:val="00B777D7"/>
    <w:rsid w:val="00BD4BA5"/>
    <w:rsid w:val="00BE3342"/>
    <w:rsid w:val="00C60B68"/>
    <w:rsid w:val="00CB2725"/>
    <w:rsid w:val="00CE6CD9"/>
    <w:rsid w:val="00D0410A"/>
    <w:rsid w:val="00D512AC"/>
    <w:rsid w:val="00DB6B94"/>
    <w:rsid w:val="00DC6CFC"/>
    <w:rsid w:val="00DF6DC9"/>
    <w:rsid w:val="00E129D2"/>
    <w:rsid w:val="00E516CE"/>
    <w:rsid w:val="00E73D00"/>
    <w:rsid w:val="00EB3081"/>
    <w:rsid w:val="00EC0663"/>
    <w:rsid w:val="00EC6FF8"/>
    <w:rsid w:val="00EC7098"/>
    <w:rsid w:val="00EE6921"/>
    <w:rsid w:val="00EF009E"/>
    <w:rsid w:val="00EF406C"/>
    <w:rsid w:val="00EF477D"/>
    <w:rsid w:val="00EF624E"/>
    <w:rsid w:val="00F03A33"/>
    <w:rsid w:val="00FC5313"/>
    <w:rsid w:val="00FC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C978EFE0-0D6D-4F8C-A6F4-5C6985BD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16A"/>
    <w:rPr>
      <w:rFonts w:ascii="Arial" w:hAnsi="Arial"/>
      <w:sz w:val="24"/>
    </w:rPr>
  </w:style>
  <w:style w:type="paragraph" w:styleId="Heading1">
    <w:name w:val="heading 1"/>
    <w:basedOn w:val="Normal"/>
    <w:next w:val="Normal"/>
    <w:qFormat/>
    <w:rsid w:val="001F616A"/>
    <w:pPr>
      <w:keepNext/>
      <w:outlineLvl w:val="0"/>
    </w:pPr>
    <w:rPr>
      <w:b/>
    </w:rPr>
  </w:style>
  <w:style w:type="paragraph" w:styleId="Heading2">
    <w:name w:val="heading 2"/>
    <w:basedOn w:val="Normal"/>
    <w:next w:val="Normal"/>
    <w:qFormat/>
    <w:rsid w:val="001F616A"/>
    <w:pPr>
      <w:keepNext/>
      <w:spacing w:before="240" w:after="60"/>
      <w:outlineLvl w:val="1"/>
    </w:pPr>
    <w:rPr>
      <w:rFonts w:cs="Arial"/>
      <w:b/>
      <w:bCs/>
      <w:i/>
      <w:iCs/>
      <w:sz w:val="28"/>
      <w:szCs w:val="28"/>
    </w:rPr>
  </w:style>
  <w:style w:type="paragraph" w:styleId="Heading3">
    <w:name w:val="heading 3"/>
    <w:basedOn w:val="Normal"/>
    <w:next w:val="Normal"/>
    <w:qFormat/>
    <w:rsid w:val="001F616A"/>
    <w:pPr>
      <w:keepNext/>
      <w:spacing w:before="240" w:after="60"/>
      <w:outlineLvl w:val="2"/>
    </w:pPr>
    <w:rPr>
      <w:rFonts w:cs="Arial"/>
      <w:b/>
      <w:bCs/>
      <w:sz w:val="26"/>
      <w:szCs w:val="26"/>
    </w:rPr>
  </w:style>
  <w:style w:type="paragraph" w:styleId="Heading5">
    <w:name w:val="heading 5"/>
    <w:basedOn w:val="Normal"/>
    <w:next w:val="Normal"/>
    <w:qFormat/>
    <w:rsid w:val="001F616A"/>
    <w:pPr>
      <w:keepNext/>
      <w:outlineLvl w:val="4"/>
    </w:pPr>
    <w:rPr>
      <w:rFonts w:ascii="Univers" w:hAnsi="Univers"/>
      <w:b/>
      <w:u w:val="single"/>
    </w:rPr>
  </w:style>
  <w:style w:type="paragraph" w:styleId="Heading6">
    <w:name w:val="heading 6"/>
    <w:basedOn w:val="Normal"/>
    <w:next w:val="Normal"/>
    <w:qFormat/>
    <w:rsid w:val="001F616A"/>
    <w:pPr>
      <w:keepNext/>
      <w:outlineLvl w:val="5"/>
    </w:pPr>
    <w:rPr>
      <w:rFonts w:ascii="Univers" w:hAnsi="Univers"/>
      <w:b/>
    </w:rPr>
  </w:style>
  <w:style w:type="paragraph" w:styleId="Heading7">
    <w:name w:val="heading 7"/>
    <w:basedOn w:val="Normal"/>
    <w:next w:val="Normal"/>
    <w:qFormat/>
    <w:rsid w:val="001F616A"/>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16A"/>
  </w:style>
  <w:style w:type="paragraph" w:customStyle="1" w:styleId="arial11">
    <w:name w:val="arial11"/>
    <w:basedOn w:val="Normal"/>
    <w:rsid w:val="001F616A"/>
  </w:style>
  <w:style w:type="paragraph" w:styleId="BodyText">
    <w:name w:val="Body Text"/>
    <w:basedOn w:val="Normal"/>
    <w:rsid w:val="001F616A"/>
  </w:style>
  <w:style w:type="paragraph" w:styleId="Footer">
    <w:name w:val="footer"/>
    <w:basedOn w:val="Normal"/>
    <w:link w:val="FooterChar"/>
    <w:uiPriority w:val="99"/>
    <w:rsid w:val="001F616A"/>
    <w:pPr>
      <w:tabs>
        <w:tab w:val="center" w:pos="4153"/>
        <w:tab w:val="right" w:pos="8306"/>
      </w:tabs>
    </w:pPr>
  </w:style>
  <w:style w:type="character" w:styleId="PageNumber">
    <w:name w:val="page number"/>
    <w:basedOn w:val="DefaultParagraphFont"/>
    <w:rsid w:val="001F616A"/>
  </w:style>
  <w:style w:type="table" w:styleId="TableGrid">
    <w:name w:val="Table Grid"/>
    <w:basedOn w:val="TableNormal"/>
    <w:rsid w:val="001F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16A"/>
    <w:rPr>
      <w:rFonts w:ascii="Tahoma" w:hAnsi="Tahoma" w:cs="Tahoma"/>
      <w:sz w:val="16"/>
      <w:szCs w:val="16"/>
    </w:rPr>
  </w:style>
  <w:style w:type="character" w:styleId="FollowedHyperlink">
    <w:name w:val="FollowedHyperlink"/>
    <w:basedOn w:val="DefaultParagraphFont"/>
    <w:rsid w:val="001F616A"/>
    <w:rPr>
      <w:color w:val="800080"/>
      <w:u w:val="single"/>
    </w:rPr>
  </w:style>
  <w:style w:type="character" w:styleId="Hyperlink">
    <w:name w:val="Hyperlink"/>
    <w:basedOn w:val="DefaultParagraphFont"/>
    <w:uiPriority w:val="99"/>
    <w:unhideWhenUsed/>
    <w:rsid w:val="00AB046B"/>
    <w:rPr>
      <w:color w:val="0000FF" w:themeColor="hyperlink"/>
      <w:u w:val="single"/>
    </w:rPr>
  </w:style>
  <w:style w:type="character" w:customStyle="1" w:styleId="FooterChar">
    <w:name w:val="Footer Char"/>
    <w:basedOn w:val="DefaultParagraphFont"/>
    <w:link w:val="Footer"/>
    <w:uiPriority w:val="99"/>
    <w:rsid w:val="00AB046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lowry@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2E6D-3333-4E0F-B701-7C1BE8F0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24</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Audit Committee</vt:lpstr>
    </vt:vector>
  </TitlesOfParts>
  <Company>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subject/>
  <dc:creator>rdmcm</dc:creator>
  <cp:keywords/>
  <dc:description>8 December 2003</dc:description>
  <cp:lastModifiedBy>Harbison, Garth</cp:lastModifiedBy>
  <cp:revision>10</cp:revision>
  <cp:lastPrinted>2015-01-16T15:05:00Z</cp:lastPrinted>
  <dcterms:created xsi:type="dcterms:W3CDTF">2014-11-24T13:35:00Z</dcterms:created>
  <dcterms:modified xsi:type="dcterms:W3CDTF">2015-01-16T15:05:00Z</dcterms:modified>
</cp:coreProperties>
</file>